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29" w:rsidRPr="00CF1E0F" w:rsidRDefault="00486329" w:rsidP="00CF1E0F">
      <w:pPr>
        <w:pBdr>
          <w:bottom w:val="single" w:sz="4" w:space="1" w:color="E36C0A"/>
        </w:pBdr>
        <w:spacing w:after="0" w:line="240" w:lineRule="auto"/>
        <w:jc w:val="both"/>
        <w:rPr>
          <w:rFonts w:ascii="Garamond" w:hAnsi="Garamond"/>
          <w:b/>
          <w:color w:val="002060"/>
        </w:rPr>
      </w:pPr>
      <w:r>
        <w:rPr>
          <w:rFonts w:ascii="Garamond" w:hAnsi="Garamond"/>
          <w:b/>
          <w:color w:val="002060"/>
        </w:rPr>
        <w:t xml:space="preserve">INSTRUCCIÓN 4: ACORTAMIENTO DE PLAZOS EN </w:t>
      </w:r>
      <w:r w:rsidRPr="00CF1E0F">
        <w:rPr>
          <w:rFonts w:ascii="Garamond" w:hAnsi="Garamond"/>
          <w:b/>
          <w:color w:val="002060"/>
        </w:rPr>
        <w:t>CONVOCATORIA DE PDI FUNCIONARIO – CONCURSO ACREDITADOS</w:t>
      </w:r>
    </w:p>
    <w:p w:rsidR="00486329" w:rsidRDefault="00486329" w:rsidP="00811F7D">
      <w:pPr>
        <w:spacing w:after="0" w:line="240" w:lineRule="auto"/>
        <w:jc w:val="both"/>
        <w:rPr>
          <w:rFonts w:ascii="Garamond" w:hAnsi="Garamond"/>
        </w:rPr>
      </w:pPr>
    </w:p>
    <w:p w:rsidR="00486329" w:rsidRPr="00811F7D" w:rsidRDefault="00486329" w:rsidP="00363868">
      <w:pPr>
        <w:spacing w:after="0" w:line="240" w:lineRule="auto"/>
        <w:jc w:val="center"/>
        <w:rPr>
          <w:rFonts w:ascii="Garamond" w:hAnsi="Garamond"/>
          <w:u w:val="single"/>
        </w:rPr>
      </w:pPr>
      <w:r>
        <w:rPr>
          <w:rFonts w:ascii="Garamond" w:hAnsi="Garamond"/>
          <w:u w:val="single"/>
        </w:rPr>
        <w:t xml:space="preserve">Reglamento UCA/CG19/2008 de 15 de diciembre, para los Concursos de Acceso entre Acreditados a Cuerpos de Funcionarios Docentes Universitarios de </w:t>
      </w:r>
      <w:smartTag w:uri="urn:schemas-microsoft-com:office:smarttags" w:element="PersonName">
        <w:smartTagPr>
          <w:attr w:name="ProductID" w:val="la Universidad"/>
        </w:smartTagPr>
        <w:r>
          <w:rPr>
            <w:rFonts w:ascii="Garamond" w:hAnsi="Garamond"/>
            <w:u w:val="single"/>
          </w:rPr>
          <w:t>la Universidad</w:t>
        </w:r>
      </w:smartTag>
      <w:r>
        <w:rPr>
          <w:rFonts w:ascii="Garamond" w:hAnsi="Garamond"/>
          <w:u w:val="single"/>
        </w:rPr>
        <w:t xml:space="preserve"> de Cádiz</w:t>
      </w:r>
    </w:p>
    <w:p w:rsidR="00486329" w:rsidRDefault="00486329" w:rsidP="00811F7D">
      <w:pPr>
        <w:spacing w:after="0" w:line="240" w:lineRule="auto"/>
        <w:jc w:val="both"/>
        <w:rPr>
          <w:rFonts w:ascii="Garamond" w:hAnsi="Garamond"/>
        </w:rPr>
      </w:pPr>
    </w:p>
    <w:p w:rsidR="00486329" w:rsidRDefault="00486329" w:rsidP="00811F7D">
      <w:pPr>
        <w:spacing w:after="0" w:line="240" w:lineRule="auto"/>
        <w:jc w:val="both"/>
        <w:rPr>
          <w:rFonts w:ascii="Garamond" w:hAnsi="Garamond"/>
          <w:b/>
          <w:u w:val="single"/>
        </w:rPr>
      </w:pPr>
    </w:p>
    <w:p w:rsidR="00486329" w:rsidRDefault="00486329" w:rsidP="00811F7D">
      <w:pPr>
        <w:spacing w:after="0" w:line="240" w:lineRule="auto"/>
        <w:jc w:val="both"/>
        <w:rPr>
          <w:rFonts w:ascii="Garamond" w:hAnsi="Garamond"/>
        </w:rPr>
      </w:pPr>
      <w:r w:rsidRPr="0060155F">
        <w:rPr>
          <w:rFonts w:ascii="Garamond" w:hAnsi="Garamond"/>
          <w:b/>
          <w:u w:val="single"/>
        </w:rPr>
        <w:t>Listado provisional.</w:t>
      </w:r>
      <w:r>
        <w:rPr>
          <w:rFonts w:ascii="Garamond" w:hAnsi="Garamond"/>
        </w:rPr>
        <w:t xml:space="preserve"> Publicado el listado provisional, los interesados podrán presentar reclamaciones en el plazo de 10 días hábiles.</w:t>
      </w:r>
    </w:p>
    <w:p w:rsidR="00486329" w:rsidRDefault="00486329" w:rsidP="00811F7D">
      <w:pPr>
        <w:spacing w:after="0" w:line="240" w:lineRule="auto"/>
        <w:jc w:val="both"/>
        <w:rPr>
          <w:rFonts w:ascii="Garamond" w:hAnsi="Garamond"/>
          <w:color w:val="0070C0"/>
        </w:rPr>
      </w:pPr>
    </w:p>
    <w:p w:rsidR="00486329" w:rsidRPr="00F005CF" w:rsidRDefault="00486329" w:rsidP="00811F7D">
      <w:pPr>
        <w:spacing w:after="0" w:line="240" w:lineRule="auto"/>
        <w:jc w:val="both"/>
        <w:rPr>
          <w:rFonts w:ascii="Garamond" w:hAnsi="Garamond"/>
          <w:color w:val="0070C0"/>
        </w:rPr>
      </w:pPr>
      <w:r>
        <w:rPr>
          <w:rFonts w:ascii="Garamond" w:hAnsi="Garamond"/>
          <w:color w:val="0070C0"/>
        </w:rPr>
        <w:t>S</w:t>
      </w:r>
      <w:r w:rsidRPr="00F005CF">
        <w:rPr>
          <w:rFonts w:ascii="Garamond" w:hAnsi="Garamond"/>
          <w:color w:val="0070C0"/>
        </w:rPr>
        <w:t xml:space="preserve">i este plazo se recorta o se anula, se produciría una indefensión de otros posibles candidatos cuya solicitud haya presentado fuera de </w:t>
      </w:r>
      <w:smartTag w:uri="urn:schemas-microsoft-com:office:smarttags" w:element="PersonName">
        <w:smartTagPr>
          <w:attr w:name="ProductID" w:val="la UCA"/>
        </w:smartTagPr>
        <w:r w:rsidRPr="00F005CF">
          <w:rPr>
            <w:rFonts w:ascii="Garamond" w:hAnsi="Garamond"/>
            <w:color w:val="0070C0"/>
          </w:rPr>
          <w:t>la UCA</w:t>
        </w:r>
      </w:smartTag>
      <w:r>
        <w:rPr>
          <w:rFonts w:ascii="Garamond" w:hAnsi="Garamond"/>
          <w:color w:val="0070C0"/>
        </w:rPr>
        <w:t>,</w:t>
      </w:r>
      <w:r w:rsidRPr="00F005CF">
        <w:rPr>
          <w:rFonts w:ascii="Garamond" w:hAnsi="Garamond"/>
          <w:color w:val="0070C0"/>
        </w:rPr>
        <w:t xml:space="preserve"> por cualquiera de los medios establecidos en </w:t>
      </w:r>
      <w:smartTag w:uri="urn:schemas-microsoft-com:office:smarttags" w:element="PersonName">
        <w:smartTagPr>
          <w:attr w:name="ProductID" w:val="la Ley"/>
        </w:smartTagPr>
        <w:r w:rsidRPr="00F005CF">
          <w:rPr>
            <w:rFonts w:ascii="Garamond" w:hAnsi="Garamond"/>
            <w:color w:val="0070C0"/>
          </w:rPr>
          <w:t>la Ley</w:t>
        </w:r>
      </w:smartTag>
      <w:r w:rsidRPr="00F005CF">
        <w:rPr>
          <w:rFonts w:ascii="Garamond" w:hAnsi="Garamond"/>
          <w:color w:val="0070C0"/>
        </w:rPr>
        <w:t xml:space="preserve"> de Procedimiento Administrativo Común.</w:t>
      </w:r>
      <w:r>
        <w:rPr>
          <w:rFonts w:ascii="Garamond" w:hAnsi="Garamond"/>
          <w:color w:val="0070C0"/>
        </w:rPr>
        <w:t xml:space="preserve"> </w:t>
      </w:r>
      <w:r w:rsidRPr="00A04EDC">
        <w:rPr>
          <w:rFonts w:ascii="Garamond" w:hAnsi="Garamond"/>
          <w:b/>
          <w:color w:val="0070C0"/>
        </w:rPr>
        <w:t>Por lo tanto, no se puede rebajar el mismo.</w:t>
      </w:r>
    </w:p>
    <w:p w:rsidR="00486329" w:rsidRPr="00811F7D" w:rsidRDefault="00486329" w:rsidP="00811F7D">
      <w:pPr>
        <w:spacing w:after="0" w:line="240" w:lineRule="auto"/>
        <w:jc w:val="both"/>
        <w:rPr>
          <w:rFonts w:ascii="Garamond" w:hAnsi="Garamond"/>
          <w:b/>
        </w:rPr>
      </w:pPr>
    </w:p>
    <w:p w:rsidR="00486329" w:rsidRDefault="00486329" w:rsidP="00811F7D">
      <w:pPr>
        <w:spacing w:after="0" w:line="240" w:lineRule="auto"/>
        <w:jc w:val="both"/>
        <w:rPr>
          <w:rFonts w:ascii="Garamond" w:hAnsi="Garamond"/>
        </w:rPr>
      </w:pPr>
      <w:r w:rsidRPr="0060155F">
        <w:rPr>
          <w:rFonts w:ascii="Garamond" w:hAnsi="Garamond"/>
          <w:b/>
          <w:u w:val="single"/>
        </w:rPr>
        <w:t>Listado definitivo.</w:t>
      </w:r>
      <w:r>
        <w:rPr>
          <w:rFonts w:ascii="Garamond" w:hAnsi="Garamond"/>
        </w:rPr>
        <w:t xml:space="preserve"> Después de los 10 días hábiles, se publica el listado definitivo. </w:t>
      </w:r>
    </w:p>
    <w:p w:rsidR="00486329" w:rsidRDefault="00486329" w:rsidP="00811F7D">
      <w:pPr>
        <w:spacing w:after="0" w:line="240" w:lineRule="auto"/>
        <w:jc w:val="both"/>
        <w:rPr>
          <w:rFonts w:ascii="Garamond" w:hAnsi="Garamond"/>
        </w:rPr>
      </w:pPr>
    </w:p>
    <w:p w:rsidR="00486329" w:rsidRDefault="00486329" w:rsidP="00811F7D">
      <w:pPr>
        <w:spacing w:after="0" w:line="240" w:lineRule="auto"/>
        <w:jc w:val="both"/>
        <w:rPr>
          <w:rFonts w:ascii="Garamond" w:hAnsi="Garamond"/>
        </w:rPr>
      </w:pPr>
      <w:r w:rsidRPr="0060155F">
        <w:rPr>
          <w:rFonts w:ascii="Garamond" w:hAnsi="Garamond"/>
          <w:b/>
          <w:u w:val="single"/>
        </w:rPr>
        <w:t xml:space="preserve">Constitución de </w:t>
      </w:r>
      <w:smartTag w:uri="urn:schemas-microsoft-com:office:smarttags" w:element="PersonName">
        <w:smartTagPr>
          <w:attr w:name="ProductID" w:val="la Comisión. Desde"/>
        </w:smartTagPr>
        <w:r w:rsidRPr="0060155F">
          <w:rPr>
            <w:rFonts w:ascii="Garamond" w:hAnsi="Garamond"/>
            <w:b/>
            <w:u w:val="single"/>
          </w:rPr>
          <w:t>la Comisión.</w:t>
        </w:r>
        <w:r>
          <w:rPr>
            <w:rFonts w:ascii="Garamond" w:hAnsi="Garamond"/>
          </w:rPr>
          <w:t xml:space="preserve"> Desde</w:t>
        </w:r>
      </w:smartTag>
      <w:r>
        <w:rPr>
          <w:rFonts w:ascii="Garamond" w:hAnsi="Garamond"/>
        </w:rPr>
        <w:t xml:space="preserve"> el día siguiente a la publicación del listado definitivo, hay un plazo de 30 días hábiles para la constitución de </w:t>
      </w:r>
      <w:smartTag w:uri="urn:schemas-microsoft-com:office:smarttags" w:element="PersonName">
        <w:smartTagPr>
          <w:attr w:name="ProductID" w:val="la Comisión. El"/>
        </w:smartTagPr>
        <w:r>
          <w:rPr>
            <w:rFonts w:ascii="Garamond" w:hAnsi="Garamond"/>
          </w:rPr>
          <w:t>la Comisión. El</w:t>
        </w:r>
      </w:smartTag>
      <w:r>
        <w:rPr>
          <w:rFonts w:ascii="Garamond" w:hAnsi="Garamond"/>
        </w:rPr>
        <w:t xml:space="preserve"> Presidente convoca a los miembros y candidatos con la antelación de 10 días hábiles a los actos (constitución Comisión, pruebas)</w:t>
      </w:r>
    </w:p>
    <w:p w:rsidR="00486329" w:rsidRDefault="00486329" w:rsidP="00811F7D">
      <w:pPr>
        <w:spacing w:after="0" w:line="240" w:lineRule="auto"/>
        <w:jc w:val="both"/>
        <w:rPr>
          <w:rFonts w:ascii="Garamond" w:hAnsi="Garamond"/>
          <w:color w:val="0070C0"/>
        </w:rPr>
      </w:pPr>
    </w:p>
    <w:p w:rsidR="00486329" w:rsidRPr="00340F26" w:rsidRDefault="00486329" w:rsidP="00811F7D">
      <w:pPr>
        <w:spacing w:after="0" w:line="240" w:lineRule="auto"/>
        <w:jc w:val="both"/>
        <w:rPr>
          <w:rFonts w:ascii="Garamond" w:hAnsi="Garamond"/>
          <w:color w:val="0070C0"/>
        </w:rPr>
      </w:pPr>
      <w:r w:rsidRPr="00340F26">
        <w:rPr>
          <w:rFonts w:ascii="Garamond" w:hAnsi="Garamond"/>
          <w:color w:val="0070C0"/>
        </w:rPr>
        <w:t xml:space="preserve">El plazo de 30 días hábiles es un plazo de máximos, por lo que el Presidente de </w:t>
      </w:r>
      <w:smartTag w:uri="urn:schemas-microsoft-com:office:smarttags" w:element="PersonName">
        <w:smartTagPr>
          <w:attr w:name="ProductID" w:val="la Comisión"/>
        </w:smartTagPr>
        <w:r w:rsidRPr="00340F26">
          <w:rPr>
            <w:rFonts w:ascii="Garamond" w:hAnsi="Garamond"/>
            <w:color w:val="0070C0"/>
          </w:rPr>
          <w:t>la Comisión</w:t>
        </w:r>
      </w:smartTag>
      <w:r w:rsidRPr="00340F26">
        <w:rPr>
          <w:rFonts w:ascii="Garamond" w:hAnsi="Garamond"/>
          <w:color w:val="0070C0"/>
        </w:rPr>
        <w:t xml:space="preserve"> podrá establecer el plazo mínimo que considere oportuno.</w:t>
      </w:r>
    </w:p>
    <w:p w:rsidR="00486329" w:rsidRDefault="00486329" w:rsidP="00811F7D">
      <w:pPr>
        <w:spacing w:after="0" w:line="240" w:lineRule="auto"/>
        <w:jc w:val="both"/>
        <w:rPr>
          <w:rFonts w:ascii="Garamond" w:hAnsi="Garamond"/>
          <w:b/>
          <w:color w:val="0070C0"/>
        </w:rPr>
      </w:pPr>
    </w:p>
    <w:p w:rsidR="00486329" w:rsidRPr="00340F26" w:rsidRDefault="00486329" w:rsidP="00811F7D">
      <w:pPr>
        <w:spacing w:after="0" w:line="240" w:lineRule="auto"/>
        <w:jc w:val="both"/>
        <w:rPr>
          <w:rFonts w:ascii="Garamond" w:hAnsi="Garamond"/>
          <w:color w:val="0070C0"/>
        </w:rPr>
      </w:pPr>
      <w:r w:rsidRPr="00340F26">
        <w:rPr>
          <w:rFonts w:ascii="Garamond" w:hAnsi="Garamond"/>
          <w:color w:val="0070C0"/>
        </w:rPr>
        <w:t xml:space="preserve">Si hay un único candidato a la plaza, el plazo de la notificación (antelación de 10 días hábiles) se podría recortar, siempre que se solicite por escrito por parte del candidato y se conceda por escrito por parte de </w:t>
      </w:r>
      <w:smartTag w:uri="urn:schemas-microsoft-com:office:smarttags" w:element="PersonName">
        <w:smartTagPr>
          <w:attr w:name="ProductID" w:val="la Comisión. Solicitud"/>
        </w:smartTagPr>
        <w:r w:rsidRPr="00340F26">
          <w:rPr>
            <w:rFonts w:ascii="Garamond" w:hAnsi="Garamond"/>
            <w:color w:val="0070C0"/>
          </w:rPr>
          <w:t>la Comisión. Solicitud</w:t>
        </w:r>
      </w:smartTag>
      <w:r w:rsidRPr="00340F26">
        <w:rPr>
          <w:rFonts w:ascii="Garamond" w:hAnsi="Garamond"/>
          <w:color w:val="0070C0"/>
        </w:rPr>
        <w:t xml:space="preserve"> y concesión, se adjuntarán al expediente.</w:t>
      </w:r>
    </w:p>
    <w:p w:rsidR="00486329" w:rsidRDefault="00486329" w:rsidP="00811F7D">
      <w:pPr>
        <w:spacing w:after="0" w:line="240" w:lineRule="auto"/>
        <w:jc w:val="both"/>
        <w:rPr>
          <w:rFonts w:ascii="Garamond" w:hAnsi="Garamond"/>
        </w:rPr>
      </w:pPr>
    </w:p>
    <w:p w:rsidR="00486329" w:rsidRDefault="00486329" w:rsidP="00811F7D">
      <w:pPr>
        <w:spacing w:after="0" w:line="240" w:lineRule="auto"/>
        <w:jc w:val="both"/>
        <w:rPr>
          <w:rFonts w:ascii="Garamond" w:hAnsi="Garamond"/>
        </w:rPr>
      </w:pPr>
      <w:r>
        <w:rPr>
          <w:rFonts w:ascii="Garamond" w:hAnsi="Garamond"/>
        </w:rPr>
        <w:t xml:space="preserve">El Reglamento no especifica plazo para realizar las pruebas, por lo que es a criterio del Presidente de </w:t>
      </w:r>
      <w:smartTag w:uri="urn:schemas-microsoft-com:office:smarttags" w:element="PersonName">
        <w:smartTagPr>
          <w:attr w:name="ProductID" w:val="la Comisión"/>
        </w:smartTagPr>
        <w:r>
          <w:rPr>
            <w:rFonts w:ascii="Garamond" w:hAnsi="Garamond"/>
          </w:rPr>
          <w:t>la Comisión</w:t>
        </w:r>
      </w:smartTag>
      <w:r>
        <w:rPr>
          <w:rFonts w:ascii="Garamond" w:hAnsi="Garamond"/>
        </w:rPr>
        <w:t xml:space="preserve">, la duración total del proceso, dependiendo de éste reducir al mínimo la duración de este proceso. </w:t>
      </w:r>
    </w:p>
    <w:p w:rsidR="00486329" w:rsidRDefault="00486329" w:rsidP="00811F7D">
      <w:pPr>
        <w:spacing w:after="0" w:line="240" w:lineRule="auto"/>
        <w:jc w:val="both"/>
        <w:rPr>
          <w:rFonts w:ascii="Garamond" w:hAnsi="Garamond"/>
        </w:rPr>
      </w:pPr>
    </w:p>
    <w:p w:rsidR="00486329" w:rsidRDefault="00486329" w:rsidP="00811F7D">
      <w:pPr>
        <w:spacing w:after="0" w:line="240" w:lineRule="auto"/>
        <w:jc w:val="both"/>
        <w:rPr>
          <w:rFonts w:ascii="Garamond" w:hAnsi="Garamond"/>
        </w:rPr>
      </w:pPr>
      <w:r w:rsidRPr="0060155F">
        <w:rPr>
          <w:rFonts w:ascii="Garamond" w:hAnsi="Garamond"/>
          <w:b/>
          <w:u w:val="single"/>
        </w:rPr>
        <w:t>Finalizado el proceso:</w:t>
      </w:r>
      <w:r>
        <w:rPr>
          <w:rFonts w:ascii="Garamond" w:hAnsi="Garamond"/>
        </w:rPr>
        <w:t xml:space="preserve"> Se entrega el expediente en el Área de Personal. Transcurrido un mes desde la recepción del expediente, se prepara el nombramiento para su remisión al BOE. Este mes se espera, por ser el plazo de presentación de recursos de alzada de acuerdo con </w:t>
      </w:r>
      <w:smartTag w:uri="urn:schemas-microsoft-com:office:smarttags" w:element="PersonName">
        <w:smartTagPr>
          <w:attr w:name="ProductID" w:val="la Ley"/>
        </w:smartTagPr>
        <w:r>
          <w:rPr>
            <w:rFonts w:ascii="Garamond" w:hAnsi="Garamond"/>
          </w:rPr>
          <w:t>la Ley</w:t>
        </w:r>
      </w:smartTag>
      <w:r>
        <w:rPr>
          <w:rFonts w:ascii="Garamond" w:hAnsi="Garamond"/>
        </w:rPr>
        <w:t xml:space="preserve"> de Régimen Jurídico.</w:t>
      </w:r>
    </w:p>
    <w:p w:rsidR="00486329" w:rsidRDefault="00486329" w:rsidP="0060155F">
      <w:pPr>
        <w:spacing w:after="0" w:line="240" w:lineRule="auto"/>
        <w:jc w:val="both"/>
        <w:rPr>
          <w:rFonts w:ascii="Garamond" w:hAnsi="Garamond"/>
          <w:color w:val="0070C0"/>
        </w:rPr>
      </w:pPr>
    </w:p>
    <w:p w:rsidR="00486329" w:rsidRPr="00340F26" w:rsidRDefault="00486329" w:rsidP="0060155F">
      <w:pPr>
        <w:spacing w:after="0" w:line="240" w:lineRule="auto"/>
        <w:jc w:val="both"/>
        <w:rPr>
          <w:rFonts w:ascii="Garamond" w:hAnsi="Garamond"/>
          <w:color w:val="0070C0"/>
        </w:rPr>
      </w:pPr>
      <w:r w:rsidRPr="00340F26">
        <w:rPr>
          <w:rFonts w:ascii="Garamond" w:hAnsi="Garamond"/>
          <w:color w:val="0070C0"/>
        </w:rPr>
        <w:t>Si hay un único candidato y renuncia por escrito a presentar recurso, se podría acortar el plazo del mes.</w:t>
      </w:r>
    </w:p>
    <w:p w:rsidR="00486329" w:rsidRPr="00340F26" w:rsidRDefault="00486329" w:rsidP="0060155F">
      <w:pPr>
        <w:spacing w:after="0" w:line="240" w:lineRule="auto"/>
        <w:jc w:val="both"/>
        <w:rPr>
          <w:rFonts w:ascii="Garamond" w:hAnsi="Garamond"/>
          <w:color w:val="0070C0"/>
        </w:rPr>
      </w:pPr>
      <w:r w:rsidRPr="00340F26">
        <w:rPr>
          <w:rFonts w:ascii="Garamond" w:hAnsi="Garamond"/>
          <w:color w:val="0070C0"/>
        </w:rPr>
        <w:t>Si hay varios candidatos, esto no sería posible.</w:t>
      </w:r>
    </w:p>
    <w:p w:rsidR="00486329" w:rsidRDefault="00486329" w:rsidP="0060155F">
      <w:pPr>
        <w:spacing w:after="0" w:line="240" w:lineRule="auto"/>
        <w:jc w:val="both"/>
        <w:rPr>
          <w:rFonts w:ascii="Garamond" w:hAnsi="Garamond"/>
          <w:b/>
        </w:rPr>
      </w:pPr>
    </w:p>
    <w:p w:rsidR="00486329" w:rsidRDefault="00486329" w:rsidP="002E4153">
      <w:pPr>
        <w:spacing w:after="0" w:line="240" w:lineRule="auto"/>
        <w:rPr>
          <w:rFonts w:ascii="Garamond" w:hAnsi="Garamond"/>
        </w:rPr>
      </w:pPr>
      <w:r>
        <w:rPr>
          <w:rFonts w:ascii="Garamond" w:hAnsi="Garamond"/>
        </w:rPr>
        <w:t>En Cádiz, a 11 de junio de 2012</w:t>
      </w:r>
    </w:p>
    <w:p w:rsidR="00486329" w:rsidRDefault="00486329" w:rsidP="002E4153">
      <w:pPr>
        <w:spacing w:after="0" w:line="240" w:lineRule="auto"/>
        <w:rPr>
          <w:rFonts w:ascii="Garamond" w:hAnsi="Garamond"/>
        </w:rPr>
      </w:pPr>
    </w:p>
    <w:p w:rsidR="00486329" w:rsidRDefault="00486329" w:rsidP="002E4153">
      <w:pPr>
        <w:spacing w:after="0" w:line="240" w:lineRule="auto"/>
        <w:rPr>
          <w:rFonts w:ascii="Garamond" w:hAnsi="Garamond"/>
        </w:rPr>
      </w:pPr>
    </w:p>
    <w:p w:rsidR="00486329" w:rsidRDefault="00486329" w:rsidP="002E4153">
      <w:pPr>
        <w:spacing w:after="0" w:line="240" w:lineRule="auto"/>
        <w:rPr>
          <w:rFonts w:ascii="Garamond" w:hAnsi="Garamond"/>
        </w:rPr>
      </w:pPr>
    </w:p>
    <w:p w:rsidR="00486329" w:rsidRDefault="00486329" w:rsidP="002E4153">
      <w:pPr>
        <w:spacing w:after="0" w:line="240" w:lineRule="auto"/>
        <w:rPr>
          <w:rFonts w:ascii="Garamond" w:hAnsi="Garamond"/>
        </w:rPr>
      </w:pPr>
    </w:p>
    <w:p w:rsidR="00486329" w:rsidRDefault="00486329" w:rsidP="002E4153">
      <w:pPr>
        <w:spacing w:after="0" w:line="240" w:lineRule="auto"/>
        <w:rPr>
          <w:rFonts w:ascii="Garamond" w:hAnsi="Garamond"/>
        </w:rPr>
      </w:pPr>
      <w:r>
        <w:rPr>
          <w:rFonts w:ascii="Garamond" w:hAnsi="Garamond"/>
        </w:rPr>
        <w:t>Paloma Braza Lloret</w:t>
      </w:r>
    </w:p>
    <w:p w:rsidR="00486329" w:rsidRDefault="00486329" w:rsidP="002E4153">
      <w:pPr>
        <w:spacing w:after="0" w:line="240" w:lineRule="auto"/>
        <w:rPr>
          <w:rFonts w:ascii="Garamond" w:hAnsi="Garamond"/>
        </w:rPr>
      </w:pPr>
      <w:r>
        <w:rPr>
          <w:rFonts w:ascii="Garamond" w:hAnsi="Garamond"/>
        </w:rPr>
        <w:t>Vicerrectora de Ordenación Académica y Personal</w:t>
      </w:r>
    </w:p>
    <w:p w:rsidR="00486329" w:rsidRDefault="00486329" w:rsidP="002E4153">
      <w:pPr>
        <w:spacing w:after="0" w:line="240" w:lineRule="auto"/>
        <w:rPr>
          <w:rFonts w:ascii="Garamond" w:hAnsi="Garamond"/>
        </w:rPr>
      </w:pPr>
    </w:p>
    <w:p w:rsidR="00486329" w:rsidRDefault="00486329" w:rsidP="002E4153">
      <w:pPr>
        <w:spacing w:after="0" w:line="240" w:lineRule="auto"/>
        <w:rPr>
          <w:rFonts w:ascii="Garamond" w:hAnsi="Garamond"/>
        </w:rPr>
      </w:pPr>
    </w:p>
    <w:p w:rsidR="00486329" w:rsidRDefault="00486329">
      <w:pPr>
        <w:rPr>
          <w:rFonts w:ascii="Garamond" w:hAnsi="Garamond"/>
        </w:rPr>
      </w:pPr>
    </w:p>
    <w:p w:rsidR="00486329" w:rsidRPr="00D87996" w:rsidRDefault="00486329">
      <w:pPr>
        <w:rPr>
          <w:rFonts w:ascii="Garamond" w:hAnsi="Garamond"/>
        </w:rPr>
      </w:pPr>
    </w:p>
    <w:sectPr w:rsidR="00486329" w:rsidRPr="00D87996" w:rsidSect="00953FE0">
      <w:head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329" w:rsidRDefault="00486329" w:rsidP="00953FE0">
      <w:pPr>
        <w:spacing w:after="0" w:line="240" w:lineRule="auto"/>
      </w:pPr>
      <w:r>
        <w:separator/>
      </w:r>
    </w:p>
  </w:endnote>
  <w:endnote w:type="continuationSeparator" w:id="0">
    <w:p w:rsidR="00486329" w:rsidRDefault="00486329" w:rsidP="00953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55 Roman">
    <w:altName w:val="Agency FB"/>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329" w:rsidRDefault="00486329" w:rsidP="00953FE0">
      <w:pPr>
        <w:spacing w:after="0" w:line="240" w:lineRule="auto"/>
      </w:pPr>
      <w:r>
        <w:separator/>
      </w:r>
    </w:p>
  </w:footnote>
  <w:footnote w:type="continuationSeparator" w:id="0">
    <w:p w:rsidR="00486329" w:rsidRDefault="00486329" w:rsidP="00953F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9" w:type="dxa"/>
      <w:tblInd w:w="-639" w:type="dxa"/>
      <w:tblLayout w:type="fixed"/>
      <w:tblCellMar>
        <w:left w:w="70" w:type="dxa"/>
        <w:right w:w="70" w:type="dxa"/>
      </w:tblCellMar>
      <w:tblLook w:val="0000"/>
    </w:tblPr>
    <w:tblGrid>
      <w:gridCol w:w="3813"/>
      <w:gridCol w:w="316"/>
      <w:gridCol w:w="4320"/>
      <w:gridCol w:w="594"/>
      <w:gridCol w:w="1386"/>
    </w:tblGrid>
    <w:tr w:rsidR="00486329" w:rsidRPr="003D2968" w:rsidTr="004256E9">
      <w:trPr>
        <w:cantSplit/>
        <w:trHeight w:val="1545"/>
      </w:trPr>
      <w:tc>
        <w:tcPr>
          <w:tcW w:w="3813" w:type="dxa"/>
          <w:tcBorders>
            <w:bottom w:val="nil"/>
          </w:tcBorders>
        </w:tcPr>
        <w:p w:rsidR="00486329" w:rsidRPr="003D2968" w:rsidRDefault="00486329" w:rsidP="00953FE0">
          <w:pPr>
            <w:tabs>
              <w:tab w:val="left" w:pos="1730"/>
              <w:tab w:val="left" w:pos="4500"/>
              <w:tab w:val="left" w:pos="7380"/>
            </w:tabs>
            <w:ind w:left="80"/>
          </w:pPr>
          <w:r w:rsidRPr="003D2968">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8" type="#_x0000_t75" alt="LOGOcol" style="width:160.5pt;height:73.5pt;visibility:visible">
                <v:imagedata r:id="rId1" o:title=""/>
              </v:shape>
            </w:pict>
          </w:r>
        </w:p>
      </w:tc>
      <w:tc>
        <w:tcPr>
          <w:tcW w:w="316" w:type="dxa"/>
          <w:tcBorders>
            <w:bottom w:val="nil"/>
          </w:tcBorders>
        </w:tcPr>
        <w:p w:rsidR="00486329" w:rsidRPr="003D2968" w:rsidRDefault="00486329" w:rsidP="00932A01">
          <w:pPr>
            <w:tabs>
              <w:tab w:val="left" w:pos="4500"/>
              <w:tab w:val="left" w:pos="7380"/>
            </w:tabs>
            <w:ind w:left="364"/>
            <w:jc w:val="right"/>
          </w:pPr>
          <w:r w:rsidRPr="003D2968">
            <w:rPr>
              <w:noProof/>
              <w:lang w:eastAsia="es-ES"/>
            </w:rPr>
            <w:pict>
              <v:shape id="Imagen 2" o:spid="_x0000_i1029" type="#_x0000_t75" alt="BARRA copia" style="width:3pt;height:74.25pt;visibility:visible">
                <v:imagedata r:id="rId2" o:title=""/>
              </v:shape>
            </w:pict>
          </w:r>
        </w:p>
      </w:tc>
      <w:tc>
        <w:tcPr>
          <w:tcW w:w="4320" w:type="dxa"/>
          <w:tcBorders>
            <w:bottom w:val="nil"/>
          </w:tcBorders>
        </w:tcPr>
        <w:p w:rsidR="00486329" w:rsidRPr="00514851" w:rsidRDefault="00486329" w:rsidP="00932A01">
          <w:pPr>
            <w:pStyle w:val="Heading1"/>
            <w:spacing w:before="0" w:after="0" w:line="240" w:lineRule="auto"/>
            <w:ind w:left="364"/>
            <w:rPr>
              <w:rFonts w:ascii="Garamond" w:hAnsi="Garamond"/>
              <w:b w:val="0"/>
              <w:color w:val="339966"/>
              <w:sz w:val="18"/>
              <w:szCs w:val="18"/>
            </w:rPr>
          </w:pPr>
        </w:p>
        <w:p w:rsidR="00486329" w:rsidRPr="00514851" w:rsidRDefault="00486329" w:rsidP="00307EA8">
          <w:pPr>
            <w:pStyle w:val="Heading1"/>
            <w:spacing w:before="0" w:after="0" w:line="240" w:lineRule="auto"/>
            <w:ind w:left="201"/>
            <w:rPr>
              <w:rFonts w:ascii="Garamond" w:hAnsi="Garamond"/>
              <w:color w:val="278489"/>
              <w:sz w:val="16"/>
              <w:szCs w:val="16"/>
            </w:rPr>
          </w:pPr>
          <w:r>
            <w:rPr>
              <w:rFonts w:ascii="Garamond" w:hAnsi="Garamond"/>
              <w:color w:val="278489"/>
              <w:sz w:val="16"/>
              <w:szCs w:val="16"/>
            </w:rPr>
            <w:t>Vicerrectorado de Ordenación Académica y Personal</w:t>
          </w:r>
        </w:p>
        <w:p w:rsidR="00486329" w:rsidRPr="00374853" w:rsidRDefault="00486329" w:rsidP="00307EA8">
          <w:pPr>
            <w:pStyle w:val="Heading1"/>
            <w:spacing w:before="0" w:after="0" w:line="240" w:lineRule="auto"/>
            <w:ind w:left="201"/>
            <w:rPr>
              <w:rFonts w:ascii="Garamond" w:hAnsi="Garamond"/>
              <w:color w:val="278489"/>
              <w:sz w:val="16"/>
              <w:szCs w:val="16"/>
            </w:rPr>
          </w:pPr>
          <w:r w:rsidRPr="00514851">
            <w:rPr>
              <w:rFonts w:ascii="Garamond" w:hAnsi="Garamond"/>
              <w:color w:val="278489"/>
              <w:sz w:val="16"/>
              <w:szCs w:val="16"/>
            </w:rPr>
            <w:t xml:space="preserve">Área de Personal </w:t>
          </w:r>
        </w:p>
      </w:tc>
      <w:tc>
        <w:tcPr>
          <w:tcW w:w="594" w:type="dxa"/>
          <w:tcBorders>
            <w:bottom w:val="nil"/>
          </w:tcBorders>
        </w:tcPr>
        <w:p w:rsidR="00486329" w:rsidRPr="003D2968" w:rsidRDefault="00486329" w:rsidP="00932A01">
          <w:pPr>
            <w:tabs>
              <w:tab w:val="left" w:pos="4500"/>
              <w:tab w:val="left" w:pos="7380"/>
            </w:tabs>
            <w:ind w:left="364"/>
          </w:pPr>
          <w:r w:rsidRPr="003D2968">
            <w:rPr>
              <w:noProof/>
              <w:lang w:eastAsia="es-ES"/>
            </w:rPr>
            <w:pict>
              <v:shape id="Imagen 3" o:spid="_x0000_i1030" type="#_x0000_t75" alt="BARRA copia" style="width:3pt;height:74.25pt;visibility:visible">
                <v:imagedata r:id="rId2" o:title=""/>
              </v:shape>
            </w:pict>
          </w:r>
        </w:p>
      </w:tc>
      <w:tc>
        <w:tcPr>
          <w:tcW w:w="1386" w:type="dxa"/>
          <w:tcBorders>
            <w:bottom w:val="nil"/>
          </w:tcBorders>
        </w:tcPr>
        <w:p w:rsidR="00486329" w:rsidRPr="001C0DAB" w:rsidRDefault="00486329" w:rsidP="00932A01">
          <w:pPr>
            <w:pStyle w:val="Textoencabezado"/>
            <w:ind w:left="364"/>
            <w:jc w:val="right"/>
            <w:rPr>
              <w:rFonts w:ascii="Garamond" w:hAnsi="Garamond"/>
            </w:rPr>
          </w:pPr>
          <w:r w:rsidRPr="001C0DAB">
            <w:rPr>
              <w:rFonts w:ascii="Garamond" w:hAnsi="Garamond"/>
            </w:rPr>
            <w:t xml:space="preserve"> </w:t>
          </w:r>
        </w:p>
        <w:p w:rsidR="00486329" w:rsidRPr="003C316D" w:rsidRDefault="00486329" w:rsidP="00932A01">
          <w:pPr>
            <w:pStyle w:val="Textoencabezado"/>
            <w:ind w:left="364"/>
            <w:rPr>
              <w:rFonts w:ascii="Garamond" w:hAnsi="Garamond"/>
            </w:rPr>
          </w:pPr>
        </w:p>
      </w:tc>
    </w:tr>
  </w:tbl>
  <w:p w:rsidR="00486329" w:rsidRDefault="004863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996"/>
    <w:rsid w:val="00121245"/>
    <w:rsid w:val="00130FCF"/>
    <w:rsid w:val="00152F78"/>
    <w:rsid w:val="001769B6"/>
    <w:rsid w:val="001B579F"/>
    <w:rsid w:val="001C0DAB"/>
    <w:rsid w:val="00227F2B"/>
    <w:rsid w:val="00254FED"/>
    <w:rsid w:val="002A1E35"/>
    <w:rsid w:val="002A2005"/>
    <w:rsid w:val="002E4153"/>
    <w:rsid w:val="002F2DB5"/>
    <w:rsid w:val="00307EA8"/>
    <w:rsid w:val="003361F3"/>
    <w:rsid w:val="00340F26"/>
    <w:rsid w:val="003430B8"/>
    <w:rsid w:val="00363868"/>
    <w:rsid w:val="00374853"/>
    <w:rsid w:val="003C316D"/>
    <w:rsid w:val="003D2968"/>
    <w:rsid w:val="004256E9"/>
    <w:rsid w:val="00486329"/>
    <w:rsid w:val="00514851"/>
    <w:rsid w:val="00522806"/>
    <w:rsid w:val="00531F03"/>
    <w:rsid w:val="005D40A0"/>
    <w:rsid w:val="005E6071"/>
    <w:rsid w:val="0060155F"/>
    <w:rsid w:val="006328D2"/>
    <w:rsid w:val="0063385D"/>
    <w:rsid w:val="00712C3F"/>
    <w:rsid w:val="007A259A"/>
    <w:rsid w:val="007D5AB5"/>
    <w:rsid w:val="00811F7D"/>
    <w:rsid w:val="00837054"/>
    <w:rsid w:val="00856DE8"/>
    <w:rsid w:val="008B0BEE"/>
    <w:rsid w:val="00932A01"/>
    <w:rsid w:val="00953FE0"/>
    <w:rsid w:val="009C70CB"/>
    <w:rsid w:val="00A04EDC"/>
    <w:rsid w:val="00A12610"/>
    <w:rsid w:val="00A9283A"/>
    <w:rsid w:val="00AF51C6"/>
    <w:rsid w:val="00CF1E0F"/>
    <w:rsid w:val="00D17A81"/>
    <w:rsid w:val="00D87996"/>
    <w:rsid w:val="00DE62EC"/>
    <w:rsid w:val="00F005CF"/>
    <w:rsid w:val="00F043E4"/>
    <w:rsid w:val="00FD0B7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9A"/>
    <w:pPr>
      <w:spacing w:after="200" w:line="276" w:lineRule="auto"/>
    </w:pPr>
    <w:rPr>
      <w:lang w:eastAsia="en-US"/>
    </w:rPr>
  </w:style>
  <w:style w:type="paragraph" w:styleId="Heading1">
    <w:name w:val="heading 1"/>
    <w:aliases w:val="Subemisor 1"/>
    <w:basedOn w:val="Normal"/>
    <w:next w:val="Normal"/>
    <w:link w:val="Heading1Char"/>
    <w:uiPriority w:val="99"/>
    <w:qFormat/>
    <w:rsid w:val="00953FE0"/>
    <w:pPr>
      <w:keepNext/>
      <w:widowControl w:val="0"/>
      <w:spacing w:before="240" w:after="60" w:line="312" w:lineRule="auto"/>
      <w:outlineLvl w:val="0"/>
    </w:pPr>
    <w:rPr>
      <w:rFonts w:ascii="Arial" w:eastAsia="Times New Roman" w:hAnsi="Arial" w:cs="Arial"/>
      <w:b/>
      <w:bCs/>
      <w:kern w:val="32"/>
      <w:sz w:val="32"/>
      <w:szCs w:val="32"/>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emisor 1 Char"/>
    <w:basedOn w:val="DefaultParagraphFont"/>
    <w:link w:val="Heading1"/>
    <w:uiPriority w:val="99"/>
    <w:locked/>
    <w:rsid w:val="00953FE0"/>
    <w:rPr>
      <w:rFonts w:ascii="Arial" w:hAnsi="Arial" w:cs="Arial"/>
      <w:b/>
      <w:bCs/>
      <w:kern w:val="32"/>
      <w:sz w:val="32"/>
      <w:szCs w:val="32"/>
      <w:lang w:eastAsia="es-ES"/>
    </w:rPr>
  </w:style>
  <w:style w:type="paragraph" w:styleId="Header">
    <w:name w:val="header"/>
    <w:basedOn w:val="Normal"/>
    <w:link w:val="HeaderChar"/>
    <w:uiPriority w:val="99"/>
    <w:semiHidden/>
    <w:rsid w:val="00953FE0"/>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953FE0"/>
    <w:rPr>
      <w:rFonts w:cs="Times New Roman"/>
    </w:rPr>
  </w:style>
  <w:style w:type="paragraph" w:styleId="Footer">
    <w:name w:val="footer"/>
    <w:basedOn w:val="Normal"/>
    <w:link w:val="FooterChar"/>
    <w:uiPriority w:val="99"/>
    <w:semiHidden/>
    <w:rsid w:val="00953FE0"/>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953FE0"/>
    <w:rPr>
      <w:rFonts w:cs="Times New Roman"/>
    </w:rPr>
  </w:style>
  <w:style w:type="paragraph" w:customStyle="1" w:styleId="Textoencabezado">
    <w:name w:val="Texto encabezado"/>
    <w:uiPriority w:val="99"/>
    <w:rsid w:val="00953FE0"/>
    <w:pPr>
      <w:widowControl w:val="0"/>
    </w:pPr>
    <w:rPr>
      <w:rFonts w:ascii="Helvetica 55 Roman" w:eastAsia="Times New Roman" w:hAnsi="Helvetica 55 Roman"/>
      <w:color w:val="717579"/>
      <w:sz w:val="16"/>
      <w:szCs w:val="20"/>
    </w:rPr>
  </w:style>
  <w:style w:type="paragraph" w:styleId="BalloonText">
    <w:name w:val="Balloon Text"/>
    <w:basedOn w:val="Normal"/>
    <w:link w:val="BalloonTextChar"/>
    <w:uiPriority w:val="99"/>
    <w:semiHidden/>
    <w:rsid w:val="00953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3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350</Words>
  <Characters>1927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dc:creator>
  <cp:keywords/>
  <dc:description/>
  <cp:lastModifiedBy>Usuario Rectorado</cp:lastModifiedBy>
  <cp:revision>9</cp:revision>
  <cp:lastPrinted>2012-06-11T06:51:00Z</cp:lastPrinted>
  <dcterms:created xsi:type="dcterms:W3CDTF">2012-06-08T11:43:00Z</dcterms:created>
  <dcterms:modified xsi:type="dcterms:W3CDTF">2013-09-09T11:58:00Z</dcterms:modified>
</cp:coreProperties>
</file>